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F7" w:rsidRPr="00A22558" w:rsidRDefault="00BF58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A22558">
        <w:rPr>
          <w:lang w:val="ru-RU"/>
        </w:rPr>
        <w:br/>
      </w: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четверти и первого полугодия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(5–9-е классы)</w:t>
      </w:r>
    </w:p>
    <w:p w:rsidR="00A12EF7" w:rsidRPr="00A22558" w:rsidRDefault="00BF58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образовательных результатов по классам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обучающихся на уровне основного общего образования на начало 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 составляло </w:t>
      </w:r>
      <w:r w:rsid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73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В течение второй четверти 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>отчислен 1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класса; зачислен 1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ся – в 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>9 класс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. На конец второй четверти количество обучающихся составило</w:t>
      </w:r>
      <w:r w:rsidR="00004165">
        <w:rPr>
          <w:rFonts w:hAnsi="Times New Roman" w:cs="Times New Roman"/>
          <w:color w:val="000000"/>
          <w:sz w:val="24"/>
          <w:szCs w:val="24"/>
          <w:lang w:val="ru-RU"/>
        </w:rPr>
        <w:t xml:space="preserve"> 73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Сведения о результатах второй четверти по классам приведены в таблице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"/>
        <w:gridCol w:w="1464"/>
        <w:gridCol w:w="1097"/>
        <w:gridCol w:w="1097"/>
        <w:gridCol w:w="1048"/>
        <w:gridCol w:w="1398"/>
        <w:gridCol w:w="1301"/>
        <w:gridCol w:w="1058"/>
      </w:tblGrid>
      <w:tr w:rsidR="00A12E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 на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 на «4» 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A22558" w:rsidRDefault="00BF58FE">
            <w:pPr>
              <w:rPr>
                <w:lang w:val="ru-RU"/>
              </w:rPr>
            </w:pPr>
            <w:r w:rsidRPr="00A225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успевают по одному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A22558" w:rsidRDefault="0077706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rPr>
                <w:lang w:val="ru-RU"/>
              </w:rPr>
            </w:pPr>
            <w:r>
              <w:rPr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 w:rsidP="000041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004165" w:rsidRDefault="000041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004165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004165" w:rsidRDefault="000041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004165" w:rsidRDefault="000041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004165" w:rsidRDefault="007770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701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 w:rsidP="000041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77706D" w:rsidRDefault="007770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6,7%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 w:rsidP="000041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77706D" w:rsidRDefault="007770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45,3 %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 w:rsidP="000041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77706D" w:rsidRDefault="007770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57,5 %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 w:rsidP="0000416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635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77706D" w:rsidRDefault="007770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48,4%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635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F58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12E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F58FE" w:rsidP="00B635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B6356A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35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55,5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Результаты по классам в сравнении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первой четвертью представлены на диаграммах 1 и 2.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Диаграмма 1. Уровень </w:t>
      </w:r>
      <w:proofErr w:type="spellStart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обученности</w:t>
      </w:r>
      <w:proofErr w:type="spellEnd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5–9-х классов по итогам первой и второй четвертей (</w:t>
      </w:r>
      <w:proofErr w:type="gramStart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%)</w:t>
      </w:r>
      <w:r w:rsidR="00F70102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2EF7" w:rsidRDefault="00A12EF7"/>
    <w:p w:rsidR="00A12EF7" w:rsidRDefault="00BF58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2. Уровень качества знаний обучающихся 5–9-х классов по итогам первой и второй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четвертей (</w:t>
      </w:r>
      <w:proofErr w:type="gramStart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A225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%)</w:t>
      </w:r>
    </w:p>
    <w:p w:rsidR="0077706D" w:rsidRPr="00A22558" w:rsidRDefault="0077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64CA0CC" wp14:editId="24C18F9F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2EF7" w:rsidRDefault="00A12EF7"/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Анализ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показывает рост уровня качества знаний в 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5 и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, в том числе за счет того, что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четверти одну отметку «3»,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второй четверти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хорошистам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отметить снижение уровня </w:t>
      </w:r>
      <w:proofErr w:type="spell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и качества знаний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6 и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7 классе.</w:t>
      </w:r>
    </w:p>
    <w:p w:rsidR="00A12EF7" w:rsidRPr="0077706D" w:rsidRDefault="00BF58FE" w:rsidP="0077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Наиболее низкие результаты во второй четверти продемонстрировали обучающиеся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уровня дидактической доступности образования в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расчет индекса качества показал следующее: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706D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(7</w:t>
      </w:r>
      <w:proofErr w:type="gramStart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706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= 42,3%;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, не успевающих во второй четверти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нет.</w:t>
      </w:r>
    </w:p>
    <w:p w:rsidR="00A12EF7" w:rsidRPr="00A22558" w:rsidRDefault="007770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BF58FE"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в первой четверти на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и 5 » во второй четверти в основном подтвердили свои результаты. </w:t>
      </w:r>
    </w:p>
    <w:p w:rsidR="00A12EF7" w:rsidRPr="0077706D" w:rsidRDefault="00BF58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образовательных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1148"/>
        <w:gridCol w:w="1161"/>
        <w:gridCol w:w="1272"/>
        <w:gridCol w:w="1148"/>
        <w:gridCol w:w="1161"/>
        <w:gridCol w:w="1272"/>
      </w:tblGrid>
      <w:tr w:rsidR="00A12EF7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 (%)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 (%)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A1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Default="00BF5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74,6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77,5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+ 2</w:t>
            </w:r>
            <w:r w:rsidRPr="0077706D">
              <w:rPr>
                <w:rFonts w:hAnsi="Times New Roman" w:cs="Times New Roman"/>
                <w:sz w:val="24"/>
                <w:szCs w:val="24"/>
              </w:rPr>
              <w:t>,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 xml:space="preserve">- 3 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59,5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 w:rsidP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- 1,5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+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72,4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85,2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+ 12,8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67,2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67,6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+ 0,4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75,5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- 3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82,5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- 2,5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 w:rsidP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54,8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F58FE" w:rsidRPr="0077706D">
              <w:rPr>
                <w:rFonts w:hAnsi="Times New Roman" w:cs="Times New Roman"/>
                <w:sz w:val="24"/>
                <w:szCs w:val="24"/>
              </w:rPr>
              <w:t>12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82,8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83,9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+1,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+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 xml:space="preserve">- 4 </w:t>
            </w:r>
          </w:p>
        </w:tc>
      </w:tr>
      <w:tr w:rsidR="00A12EF7" w:rsidTr="0077706D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BF58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73,8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2EF7" w:rsidRPr="0077706D" w:rsidRDefault="0077706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7706D">
              <w:rPr>
                <w:rFonts w:hAnsi="Times New Roman" w:cs="Times New Roman"/>
                <w:sz w:val="24"/>
                <w:szCs w:val="24"/>
              </w:rPr>
              <w:t>+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706D">
              <w:rPr>
                <w:rFonts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</w:tbl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Из приведенной таблицы видно,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по большинству предметов за</w:t>
      </w:r>
      <w:r>
        <w:rPr>
          <w:rFonts w:hAnsi="Times New Roman" w:cs="Times New Roman"/>
          <w:color w:val="000000"/>
          <w:sz w:val="24"/>
          <w:szCs w:val="24"/>
        </w:rPr>
        <w:t> II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 не изменилась и стабильно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100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Что касается качества знаний, то здесь можно отметить положительную динамику по большинству изучаемых предметов.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качества знаний </w:t>
      </w:r>
      <w:proofErr w:type="gram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объясняется</w:t>
      </w:r>
      <w:proofErr w:type="gram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тем, что учителя постоянно совершенствуют методику проведения уроков, применяя новые педагогические технологии, современные технические средства обучения и ИКТ. </w:t>
      </w:r>
    </w:p>
    <w:p w:rsidR="00A12EF7" w:rsidRDefault="00BF58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A12EF7" w:rsidRPr="00A22558" w:rsidRDefault="00BF58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обучающиеся 5–9-х классов продемонстрировали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50,6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51,5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и уровня качества знаний с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54,6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55,5.</w:t>
      </w:r>
    </w:p>
    <w:p w:rsidR="00A12EF7" w:rsidRPr="00A22558" w:rsidRDefault="00BF58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Отмечен высокий уровень работы учителей-предметников с </w:t>
      </w:r>
      <w:proofErr w:type="gram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5–9-х классов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2EF7" w:rsidRPr="00A22558" w:rsidRDefault="00BF58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Отмечено снижение успеваемости по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, алгебре, 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истории, французскому языку, обществознанию, географии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из-за недостаточной отработки теоретического материала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706D" w:rsidRDefault="007770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2EF7" w:rsidRDefault="00BF58F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A12EF7" w:rsidRPr="00A22558" w:rsidRDefault="00BF58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у которых обучающиеся показали снижение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и уровня качества знаний, подготовить план по повышению образовательных результатов обучающихся на протяжении третьей четверти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12.01.2023.</w:t>
      </w:r>
    </w:p>
    <w:p w:rsidR="00A12EF7" w:rsidRPr="00A22558" w:rsidRDefault="00BF58F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малый педагогический совет по вопросам работы со </w:t>
      </w:r>
      <w:proofErr w:type="gram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</w:t>
      </w:r>
      <w:proofErr w:type="gram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немотивированными обучающимися</w:t>
      </w:r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2EF7" w:rsidRPr="00A22558" w:rsidRDefault="00BF58F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2EF7" w:rsidRPr="00A22558" w:rsidRDefault="0077706D" w:rsidP="0077706D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F58FE" w:rsidRPr="00A22558">
        <w:rPr>
          <w:rFonts w:hAnsi="Times New Roman" w:cs="Times New Roman"/>
          <w:color w:val="000000"/>
          <w:sz w:val="24"/>
          <w:szCs w:val="24"/>
          <w:lang w:val="ru-RU"/>
        </w:rPr>
        <w:t>провести собеседование с учите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лями </w:t>
      </w:r>
      <w:r w:rsidR="00BF58FE" w:rsidRPr="00A22558">
        <w:rPr>
          <w:rFonts w:hAnsi="Times New Roman" w:cs="Times New Roman"/>
          <w:color w:val="000000"/>
          <w:sz w:val="24"/>
          <w:szCs w:val="24"/>
          <w:lang w:val="ru-RU"/>
        </w:rPr>
        <w:t>по вопросам работы с обучающимися и устранению выявленных дефицитов</w:t>
      </w:r>
      <w:r w:rsidR="00BF58FE">
        <w:rPr>
          <w:rFonts w:hAnsi="Times New Roman" w:cs="Times New Roman"/>
          <w:color w:val="000000"/>
          <w:sz w:val="24"/>
          <w:szCs w:val="24"/>
        </w:rPr>
        <w:t> </w:t>
      </w:r>
      <w:r w:rsidR="00BF58FE" w:rsidRPr="00A22558">
        <w:rPr>
          <w:rFonts w:hAnsi="Times New Roman" w:cs="Times New Roman"/>
          <w:color w:val="000000"/>
          <w:sz w:val="24"/>
          <w:szCs w:val="24"/>
          <w:lang w:val="ru-RU"/>
        </w:rPr>
        <w:t>в срок до 12.01.2023;</w:t>
      </w:r>
      <w:proofErr w:type="gramEnd"/>
    </w:p>
    <w:p w:rsidR="00A12EF7" w:rsidRPr="00A22558" w:rsidRDefault="00A12E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Справку состави</w:t>
      </w:r>
      <w:proofErr w:type="gramStart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а):</w:t>
      </w:r>
    </w:p>
    <w:p w:rsidR="00A12EF7" w:rsidRPr="00A22558" w:rsidRDefault="00BF58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558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 /</w:t>
      </w:r>
      <w:proofErr w:type="spellStart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77706D">
        <w:rPr>
          <w:rFonts w:hAnsi="Times New Roman" w:cs="Times New Roman"/>
          <w:color w:val="000000"/>
          <w:sz w:val="24"/>
          <w:szCs w:val="24"/>
          <w:lang w:val="ru-RU"/>
        </w:rPr>
        <w:t>О.М./</w:t>
      </w:r>
    </w:p>
    <w:p w:rsidR="00A12EF7" w:rsidRPr="0077706D" w:rsidRDefault="00A12E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12EF7" w:rsidRPr="007770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6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0C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26D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72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165"/>
    <w:rsid w:val="002D33B1"/>
    <w:rsid w:val="002D3591"/>
    <w:rsid w:val="003514A0"/>
    <w:rsid w:val="004F7E17"/>
    <w:rsid w:val="005A05CE"/>
    <w:rsid w:val="00653AF6"/>
    <w:rsid w:val="0077706D"/>
    <w:rsid w:val="00A12EF7"/>
    <w:rsid w:val="00A22558"/>
    <w:rsid w:val="00B6356A"/>
    <w:rsid w:val="00B73A5A"/>
    <w:rsid w:val="00BF58FE"/>
    <w:rsid w:val="00E438A1"/>
    <w:rsid w:val="00F01E19"/>
    <w:rsid w:val="00F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35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35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 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55</c:v>
                </c:pt>
                <c:pt idx="2">
                  <c:v>46</c:v>
                </c:pt>
                <c:pt idx="3">
                  <c:v>57.7</c:v>
                </c:pt>
                <c:pt idx="4">
                  <c:v>45.3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 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54.7</c:v>
                </c:pt>
                <c:pt idx="2">
                  <c:v>45.3</c:v>
                </c:pt>
                <c:pt idx="3">
                  <c:v>57.5</c:v>
                </c:pt>
                <c:pt idx="4">
                  <c:v>48.4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27392"/>
        <c:axId val="82365248"/>
      </c:barChart>
      <c:catAx>
        <c:axId val="14322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365248"/>
        <c:crosses val="autoZero"/>
        <c:auto val="1"/>
        <c:lblAlgn val="ctr"/>
        <c:lblOffset val="100"/>
        <c:noMultiLvlLbl val="0"/>
      </c:catAx>
      <c:valAx>
        <c:axId val="8236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22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1 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 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67.3</c:v>
                </c:pt>
                <c:pt idx="2">
                  <c:v>34.5</c:v>
                </c:pt>
                <c:pt idx="3">
                  <c:v>76.900000000000006</c:v>
                </c:pt>
                <c:pt idx="4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%2четверть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 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57.1</c:v>
                </c:pt>
                <c:pt idx="1">
                  <c:v>66.7</c:v>
                </c:pt>
                <c:pt idx="2">
                  <c:v>33.299999999999997</c:v>
                </c:pt>
                <c:pt idx="3">
                  <c:v>76.900000000000006</c:v>
                </c:pt>
                <c:pt idx="4">
                  <c:v>44.4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298304"/>
        <c:axId val="82366976"/>
      </c:barChart>
      <c:catAx>
        <c:axId val="13929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366976"/>
        <c:crosses val="autoZero"/>
        <c:auto val="1"/>
        <c:lblAlgn val="ctr"/>
        <c:lblOffset val="100"/>
        <c:noMultiLvlLbl val="0"/>
      </c:catAx>
      <c:valAx>
        <c:axId val="8236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9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4</cp:revision>
  <dcterms:created xsi:type="dcterms:W3CDTF">2023-01-10T07:22:00Z</dcterms:created>
  <dcterms:modified xsi:type="dcterms:W3CDTF">2023-01-12T06:49:00Z</dcterms:modified>
</cp:coreProperties>
</file>