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53" w:rsidRDefault="00C25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  <w:r w:rsid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 учебного года</w:t>
      </w:r>
    </w:p>
    <w:p w:rsidR="0006092F" w:rsidRPr="00CA3653" w:rsidRDefault="00C25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72 человека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6 и 7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74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A36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лассам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4"/>
        <w:gridCol w:w="1647"/>
        <w:gridCol w:w="1229"/>
        <w:gridCol w:w="1229"/>
        <w:gridCol w:w="1173"/>
        <w:gridCol w:w="1322"/>
        <w:gridCol w:w="1320"/>
        <w:gridCol w:w="1276"/>
      </w:tblGrid>
      <w:tr w:rsidR="0006092F" w:rsidTr="004C57BD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Pr="00CA3653" w:rsidRDefault="00C2540F">
            <w:pPr>
              <w:rPr>
                <w:lang w:val="ru-RU"/>
              </w:rPr>
            </w:pP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одному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3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Pr="00CA3653" w:rsidRDefault="00C2540F">
            <w:pPr>
              <w:rPr>
                <w:lang w:val="ru-RU"/>
              </w:rPr>
            </w:pP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двум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более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3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 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A36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C5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4C57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 w:rsidP="00CA36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4C57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A36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C5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4C57B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A36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C5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4C57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960F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960F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C2540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092F" w:rsidTr="004C57BD">
        <w:tc>
          <w:tcPr>
            <w:tcW w:w="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92F" w:rsidRDefault="00C25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A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 w:rsidP="00CA3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60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Pr="00CA3653" w:rsidRDefault="00C25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A36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C57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100,0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092F" w:rsidRDefault="00C25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60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06092F" w:rsidRPr="00960F67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четвертью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0F67">
        <w:rPr>
          <w:rFonts w:hAnsi="Times New Roman" w:cs="Times New Roman"/>
          <w:color w:val="000000"/>
          <w:sz w:val="24"/>
          <w:szCs w:val="24"/>
          <w:lang w:val="ru-RU"/>
        </w:rPr>
        <w:t>диаграмме.</w:t>
      </w:r>
    </w:p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="00960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четвертей</w:t>
      </w: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%)</w:t>
      </w:r>
      <w:r w:rsidR="00960F67" w:rsidRPr="001600C1">
        <w:rPr>
          <w:rFonts w:ascii="Times New Roman" w:hAnsi="Times New Roman" w:cs="Times New Roman"/>
          <w:b/>
          <w:noProof/>
          <w:szCs w:val="24"/>
          <w:lang w:val="ru-RU" w:eastAsia="ru-RU"/>
        </w:rPr>
        <w:drawing>
          <wp:inline distT="0" distB="0" distL="0" distR="0" wp14:anchorId="3ACF66BF" wp14:editId="41A5770B">
            <wp:extent cx="5375081" cy="3053301"/>
            <wp:effectExtent l="0" t="0" r="0" b="0"/>
            <wp:docPr id="8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092F" w:rsidRDefault="0006092F"/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0F67">
        <w:rPr>
          <w:rFonts w:hAnsi="Times New Roman" w:cs="Times New Roman"/>
          <w:color w:val="000000"/>
          <w:sz w:val="24"/>
          <w:szCs w:val="24"/>
          <w:lang w:val="ru-RU"/>
        </w:rPr>
        <w:t xml:space="preserve"> 7, 9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хорошистами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5, 6,8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92F" w:rsidRPr="00CA3653" w:rsidRDefault="00C2540F" w:rsidP="00F225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6 класса.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дидактической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доступнос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индекс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2,3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092F" w:rsidRDefault="00C2540F" w:rsidP="00F225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06092F" w:rsidRPr="00CA3653" w:rsidRDefault="00C25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53%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 xml:space="preserve"> 51%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25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0F" w:rsidRDefault="00C2540F" w:rsidP="00C25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Отмечен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успевающими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«хорошо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«отлично»</w:t>
      </w:r>
    </w:p>
    <w:p w:rsidR="00C2540F" w:rsidRDefault="00C2540F" w:rsidP="00C2540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092F" w:rsidRPr="00CA3653" w:rsidRDefault="00C2540F" w:rsidP="00C2540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6092F" w:rsidRPr="00CA3653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совещание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заместителе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низкомотивированными</w:t>
      </w:r>
      <w:proofErr w:type="spellEnd"/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540F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40F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40F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540F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</w:p>
    <w:p w:rsidR="00C2540F" w:rsidRPr="00C2540F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365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О.М.Латанская</w:t>
      </w:r>
      <w:proofErr w:type="spellEnd"/>
    </w:p>
    <w:p w:rsidR="0006092F" w:rsidRDefault="000609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40F" w:rsidRPr="00C2540F" w:rsidRDefault="00C254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540F" w:rsidRPr="00C254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3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804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092F"/>
    <w:rsid w:val="002D33B1"/>
    <w:rsid w:val="002D3591"/>
    <w:rsid w:val="003514A0"/>
    <w:rsid w:val="004C57BD"/>
    <w:rsid w:val="004F7E17"/>
    <w:rsid w:val="005A05CE"/>
    <w:rsid w:val="00653AF6"/>
    <w:rsid w:val="00960F67"/>
    <w:rsid w:val="00B73A5A"/>
    <w:rsid w:val="00C2540F"/>
    <w:rsid w:val="00CA3653"/>
    <w:rsid w:val="00E438A1"/>
    <w:rsid w:val="00F01E19"/>
    <w:rsid w:val="00F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36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36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0.67</c:v>
                </c:pt>
                <c:pt idx="1">
                  <c:v>0.67</c:v>
                </c:pt>
                <c:pt idx="2">
                  <c:v>0.33</c:v>
                </c:pt>
                <c:pt idx="3">
                  <c:v>0.7</c:v>
                </c:pt>
                <c:pt idx="4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0.64</c:v>
                </c:pt>
                <c:pt idx="1">
                  <c:v>0.63</c:v>
                </c:pt>
                <c:pt idx="2">
                  <c:v>0.38</c:v>
                </c:pt>
                <c:pt idx="3">
                  <c:v>0.69</c:v>
                </c:pt>
                <c:pt idx="4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137280"/>
        <c:axId val="41622272"/>
        <c:axId val="0"/>
      </c:bar3DChart>
      <c:catAx>
        <c:axId val="951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7" b="1"/>
            </a:pPr>
            <a:endParaRPr lang="ru-RU"/>
          </a:p>
        </c:txPr>
        <c:crossAx val="41622272"/>
        <c:crosses val="autoZero"/>
        <c:auto val="1"/>
        <c:lblAlgn val="ctr"/>
        <c:lblOffset val="100"/>
        <c:noMultiLvlLbl val="0"/>
      </c:catAx>
      <c:valAx>
        <c:axId val="41622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137280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197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dcterms:created xsi:type="dcterms:W3CDTF">2023-03-29T03:21:00Z</dcterms:created>
  <dcterms:modified xsi:type="dcterms:W3CDTF">2023-03-29T03:21:00Z</dcterms:modified>
</cp:coreProperties>
</file>