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B4" w:rsidRPr="00462AD8" w:rsidRDefault="00844A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462AD8">
        <w:rPr>
          <w:lang w:val="ru-RU"/>
        </w:rPr>
        <w:br/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первого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полугодия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E41B4" w:rsidRPr="00462AD8" w:rsidRDefault="00844A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классам</w:t>
      </w:r>
    </w:p>
    <w:p w:rsidR="002E41B4" w:rsidRPr="00462AD8" w:rsidRDefault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составляло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173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462A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отчислены</w:t>
      </w:r>
      <w:r w:rsid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зачислены</w:t>
      </w:r>
      <w:r w:rsid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количе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173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462A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41B4" w:rsidRPr="00462AD8" w:rsidRDefault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1206"/>
        <w:gridCol w:w="1073"/>
        <w:gridCol w:w="1073"/>
        <w:gridCol w:w="1073"/>
        <w:gridCol w:w="1025"/>
        <w:gridCol w:w="1370"/>
        <w:gridCol w:w="1431"/>
      </w:tblGrid>
      <w:tr w:rsidR="002E41B4" w:rsidTr="002441FE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0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 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462AD8" w:rsidRDefault="00462AD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Успевают с одной «3»</w:t>
            </w:r>
          </w:p>
        </w:tc>
        <w:tc>
          <w:tcPr>
            <w:tcW w:w="1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462AD8" w:rsidRDefault="00844AC2" w:rsidP="00462AD8">
            <w:pPr>
              <w:rPr>
                <w:lang w:val="ru-RU"/>
              </w:rPr>
            </w:pPr>
            <w:r w:rsidRPr="00462A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 w:rsidRPr="00462A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A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успевают</w:t>
            </w:r>
            <w:r w:rsidRPr="00462A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успевающ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4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2E41B4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Pr="00462AD8" w:rsidRDefault="00462A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462AD8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462AD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462A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Pr="00462AD8" w:rsidRDefault="00462AD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462AD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462AD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55 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E41B4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Pr="00462AD8" w:rsidRDefault="00462A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441F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441F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441F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441F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462AD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441FE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E41B4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462AD8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441FE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441F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441F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441F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441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47 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E41B4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3-4 </w:t>
            </w:r>
            <w:r w:rsidR="00844A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844A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844A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56 </w:t>
            </w:r>
            <w:r w:rsidR="00844A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E41B4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E41B4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,4 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E41B4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Pr="00081479" w:rsidRDefault="000814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E41B4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E41B4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E41B4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0814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5-9</w:t>
            </w:r>
            <w:r w:rsidR="00844A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844A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844A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,8</w:t>
            </w:r>
            <w:r w:rsidR="00844A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E41B4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2E41B4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E41B4" w:rsidRDefault="002B3B7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B3B73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Default="002B3B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Default="002B3B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Default="002B3B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Default="002B3B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Pr="002B3B73" w:rsidRDefault="002B3B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Default="002B3B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Default="002B3B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Default="002B3B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B3B73" w:rsidTr="002441FE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Pr="002B3B73" w:rsidRDefault="002B3B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3 -11</w:t>
            </w:r>
          </w:p>
        </w:tc>
        <w:tc>
          <w:tcPr>
            <w:tcW w:w="1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Pr="002B3B73" w:rsidRDefault="002B3B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Pr="002B3B73" w:rsidRDefault="002B3B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Pr="002B3B73" w:rsidRDefault="002B3B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Pr="002B3B73" w:rsidRDefault="002B3B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Pr="002B3B73" w:rsidRDefault="002B3B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Pr="002B3B73" w:rsidRDefault="002B3B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3B73" w:rsidRPr="002B3B73" w:rsidRDefault="002B3B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57,5%</w:t>
            </w:r>
          </w:p>
        </w:tc>
      </w:tr>
    </w:tbl>
    <w:p w:rsidR="002E41B4" w:rsidRPr="00462AD8" w:rsidRDefault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четвертью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2E41B4" w:rsidRPr="00462AD8" w:rsidRDefault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Диаграмма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Сравнение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второй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четвертей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%)</w:t>
      </w:r>
      <w:r w:rsidR="005932DD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41B4" w:rsidRDefault="002E41B4"/>
    <w:p w:rsidR="002E41B4" w:rsidRDefault="00844AC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Сравнение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классам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четвертей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62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%)</w:t>
      </w:r>
    </w:p>
    <w:p w:rsidR="002E41B4" w:rsidRPr="005932DD" w:rsidRDefault="005932D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41B4" w:rsidRPr="00462AD8" w:rsidRDefault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успеваю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5443">
        <w:rPr>
          <w:rFonts w:hAnsi="Times New Roman" w:cs="Times New Roman"/>
          <w:color w:val="000000"/>
          <w:sz w:val="24"/>
          <w:szCs w:val="24"/>
          <w:lang w:val="ru-RU"/>
        </w:rPr>
        <w:t xml:space="preserve"> 3, 4 «А», 6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44544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хорошистами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41B4" w:rsidRPr="00462AD8" w:rsidRDefault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Следует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5443">
        <w:rPr>
          <w:rFonts w:hAnsi="Times New Roman" w:cs="Times New Roman"/>
          <w:color w:val="000000"/>
          <w:sz w:val="24"/>
          <w:szCs w:val="24"/>
          <w:lang w:val="ru-RU"/>
        </w:rPr>
        <w:t>незначительное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544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5443">
        <w:rPr>
          <w:rFonts w:hAnsi="Times New Roman" w:cs="Times New Roman"/>
          <w:color w:val="000000"/>
          <w:sz w:val="24"/>
          <w:szCs w:val="24"/>
          <w:lang w:val="ru-RU"/>
        </w:rPr>
        <w:t>«Б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45443">
        <w:rPr>
          <w:rFonts w:hAnsi="Times New Roman" w:cs="Times New Roman"/>
          <w:color w:val="000000"/>
          <w:sz w:val="24"/>
          <w:szCs w:val="24"/>
          <w:lang w:val="ru-RU"/>
        </w:rPr>
        <w:t>, 7, 8,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E41B4" w:rsidRPr="00462AD8" w:rsidRDefault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«отлично»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45443">
        <w:rPr>
          <w:rFonts w:hAnsi="Times New Roman" w:cs="Times New Roman"/>
          <w:color w:val="000000"/>
          <w:sz w:val="24"/>
          <w:szCs w:val="24"/>
          <w:lang w:val="ru-RU"/>
        </w:rPr>
        <w:t>. В 3 классе количество отличников увеличилось на 2 человека, в 9 классе один учащийся закончил четверть на «отлично».</w:t>
      </w:r>
    </w:p>
    <w:p w:rsidR="00872535" w:rsidRPr="00445443" w:rsidRDefault="00872535" w:rsidP="008725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5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образовательных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5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предметам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7"/>
        <w:gridCol w:w="1142"/>
        <w:gridCol w:w="1153"/>
        <w:gridCol w:w="1272"/>
        <w:gridCol w:w="1142"/>
        <w:gridCol w:w="1153"/>
        <w:gridCol w:w="1272"/>
      </w:tblGrid>
      <w:tr w:rsidR="00872535" w:rsidTr="00297EEC">
        <w:trPr>
          <w:trHeight w:val="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 (%)</w:t>
            </w:r>
          </w:p>
        </w:tc>
      </w:tr>
      <w:tr w:rsidR="00872535" w:rsidTr="00297EEC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</w:tr>
      <w:tr w:rsidR="00872535" w:rsidTr="00297EEC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D405F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D405F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13,2</w:t>
            </w:r>
          </w:p>
        </w:tc>
      </w:tr>
      <w:tr w:rsidR="00872535" w:rsidTr="00297EEC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011780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</w:tr>
      <w:tr w:rsidR="00872535" w:rsidTr="00297EEC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011780" w:rsidRDefault="00872535" w:rsidP="00297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011780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011780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011780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011780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011780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011780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+ 7,5</w:t>
            </w:r>
          </w:p>
        </w:tc>
      </w:tr>
      <w:tr w:rsidR="00872535" w:rsidTr="00297EEC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011780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011780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011780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</w:p>
        </w:tc>
      </w:tr>
      <w:tr w:rsidR="00872535" w:rsidTr="00297EEC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872535" w:rsidRDefault="00872535" w:rsidP="00297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535" w:rsidRPr="00011780" w:rsidRDefault="00872535" w:rsidP="00297E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+ 5,5</w:t>
            </w:r>
          </w:p>
        </w:tc>
      </w:tr>
    </w:tbl>
    <w:p w:rsidR="002E41B4" w:rsidRPr="00445443" w:rsidRDefault="00844A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5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445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5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445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5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5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45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5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  <w:r w:rsidR="004454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5 -9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5"/>
        <w:gridCol w:w="1133"/>
        <w:gridCol w:w="1138"/>
        <w:gridCol w:w="1272"/>
        <w:gridCol w:w="1133"/>
        <w:gridCol w:w="1138"/>
        <w:gridCol w:w="1272"/>
      </w:tblGrid>
      <w:tr w:rsidR="002E41B4">
        <w:trPr>
          <w:trHeight w:val="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2E41B4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2E41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</w:p>
        </w:tc>
      </w:tr>
      <w:tr w:rsidR="002E41B4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44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44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D405F5" w:rsidRDefault="00D405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D405F5" w:rsidRDefault="00D405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D405F5" w:rsidRDefault="00D405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="00011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</w:tr>
      <w:tr w:rsidR="002E41B4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D405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1780">
              <w:rPr>
                <w:rFonts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011780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80" w:rsidRPr="00011780" w:rsidRDefault="00011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80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80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80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80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80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780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</w:t>
            </w:r>
          </w:p>
        </w:tc>
      </w:tr>
      <w:tr w:rsidR="002E41B4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445443" w:rsidRDefault="00445443" w:rsidP="0044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44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E41B4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44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44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+ 6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</w:tr>
      <w:tr w:rsidR="002E41B4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 w:rsidP="0044544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 w:rsidP="0001178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 w:rsidP="0001178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 w:rsidP="0001178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 w:rsidP="0001178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011780" w:rsidP="0001178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+12</w:t>
            </w:r>
          </w:p>
        </w:tc>
      </w:tr>
      <w:tr w:rsidR="002E41B4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+ 3,3</w:t>
            </w:r>
          </w:p>
        </w:tc>
      </w:tr>
      <w:tr w:rsidR="002E41B4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+ 1,8</w:t>
            </w:r>
          </w:p>
        </w:tc>
      </w:tr>
      <w:tr w:rsidR="002E41B4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011780" w:rsidRDefault="00011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2E41B4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44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C13E0A" w:rsidRDefault="00C13E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C13E0A" w:rsidRDefault="00C13E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C13E0A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C13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3E0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C13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</w:tr>
      <w:tr w:rsidR="002E41B4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C13E0A" w:rsidRDefault="00C13E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C13E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  <w:r w:rsidR="00844AC2">
              <w:rPr>
                <w:rFonts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C13E0A" w:rsidRDefault="00C13E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</w:tr>
      <w:tr w:rsidR="002E41B4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C13E0A" w:rsidRDefault="00C13E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C13E0A" w:rsidRDefault="00C13E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C13E0A" w:rsidRDefault="00C13E0A" w:rsidP="00C13E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- 1,3</w:t>
            </w:r>
          </w:p>
        </w:tc>
      </w:tr>
      <w:tr w:rsidR="002E41B4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872535" w:rsidRDefault="008725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C13E0A" w:rsidRDefault="00C13E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725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E41B4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44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872535" w:rsidRDefault="008725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Pr="00872535" w:rsidRDefault="008725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1B4" w:rsidRDefault="008725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+ 3</w:t>
            </w:r>
          </w:p>
        </w:tc>
      </w:tr>
    </w:tbl>
    <w:p w:rsidR="002E41B4" w:rsidRPr="00462AD8" w:rsidRDefault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приведенной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видно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="00872535" w:rsidRPr="00872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изменилась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E41B4" w:rsidRPr="00462AD8" w:rsidRDefault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касается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количе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успевающих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здесь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большинству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успевающих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объясняется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совершенствуют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применяя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ЦОР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E41B4" w:rsidRDefault="00844AC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:rsidR="002E41B4" w:rsidRPr="00462AD8" w:rsidRDefault="00844A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87253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7253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продемонстрировали</w:t>
      </w:r>
      <w:r w:rsidR="00872535">
        <w:rPr>
          <w:rFonts w:hAnsi="Times New Roman" w:cs="Times New Roman"/>
          <w:color w:val="000000"/>
          <w:sz w:val="24"/>
          <w:szCs w:val="24"/>
          <w:lang w:val="ru-RU"/>
        </w:rPr>
        <w:t xml:space="preserve"> 100 процентную </w:t>
      </w:r>
      <w:r w:rsidR="00872535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="00872535"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успевающих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снизилась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2535">
        <w:rPr>
          <w:rFonts w:hAnsi="Times New Roman" w:cs="Times New Roman"/>
          <w:color w:val="000000"/>
          <w:sz w:val="24"/>
          <w:szCs w:val="24"/>
          <w:lang w:val="ru-RU"/>
        </w:rPr>
        <w:t>выросла.</w:t>
      </w:r>
    </w:p>
    <w:p w:rsidR="002E41B4" w:rsidRPr="00462AD8" w:rsidRDefault="00844A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Отмечен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87253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7253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41B4" w:rsidRDefault="00844AC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2E41B4" w:rsidRPr="00462AD8" w:rsidRDefault="00844AC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малый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слабоуспевающими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немотивированными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щимися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AC2" w:rsidRPr="008E6C2C" w:rsidRDefault="00844AC2" w:rsidP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2. </w:t>
      </w:r>
      <w:r w:rsidRPr="008E6C2C">
        <w:rPr>
          <w:rFonts w:hAnsi="Times New Roman" w:cs="Times New Roman"/>
          <w:color w:val="000000"/>
          <w:sz w:val="24"/>
          <w:szCs w:val="24"/>
          <w:lang w:val="ru-RU"/>
        </w:rPr>
        <w:t xml:space="preserve"> Вести строгий учет индивидуальных достижений каждого ученика, определять зоны ближайшего развития и планировать составление программы работы с учеником, что дает возможность индивидуального развития учащегося, направленного на повышение его уровня.</w:t>
      </w:r>
    </w:p>
    <w:p w:rsidR="00844AC2" w:rsidRPr="008E6C2C" w:rsidRDefault="00844AC2" w:rsidP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3</w:t>
      </w:r>
      <w:r w:rsidRPr="008E6C2C">
        <w:rPr>
          <w:rFonts w:hAnsi="Times New Roman" w:cs="Times New Roman"/>
          <w:color w:val="000000"/>
          <w:sz w:val="24"/>
          <w:szCs w:val="24"/>
          <w:lang w:val="ru-RU"/>
        </w:rPr>
        <w:t>. Осуществлять личностно-ориентированный подход к ученикам, в том числе имеющим одну «четверку» и одну «тройку». Эти обучающиеся являются потенциалом для повышения качества знаний.</w:t>
      </w:r>
    </w:p>
    <w:p w:rsidR="00844AC2" w:rsidRPr="008E6C2C" w:rsidRDefault="00844AC2" w:rsidP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4</w:t>
      </w:r>
      <w:r w:rsidRPr="008E6C2C">
        <w:rPr>
          <w:rFonts w:hAnsi="Times New Roman" w:cs="Times New Roman"/>
          <w:color w:val="000000"/>
          <w:sz w:val="24"/>
          <w:szCs w:val="24"/>
          <w:lang w:val="ru-RU"/>
        </w:rPr>
        <w:t>. Школьным методическим объединениям обсудить итоги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E6C2C">
        <w:rPr>
          <w:rFonts w:hAnsi="Times New Roman" w:cs="Times New Roman"/>
          <w:color w:val="000000"/>
          <w:sz w:val="24"/>
          <w:szCs w:val="24"/>
          <w:lang w:val="ru-RU"/>
        </w:rPr>
        <w:t>-й четверти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41B4" w:rsidRPr="00462AD8" w:rsidRDefault="002E41B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E41B4" w:rsidRPr="00462AD8" w:rsidRDefault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2E41B4" w:rsidRPr="00462AD8" w:rsidRDefault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 /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О.М.</w:t>
      </w:r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62AD8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2E41B4" w:rsidRPr="00844AC2" w:rsidRDefault="0084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24.12.2024 г.</w:t>
      </w:r>
    </w:p>
    <w:sectPr w:rsidR="002E41B4" w:rsidRPr="00844AC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D62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017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A07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1780"/>
    <w:rsid w:val="00081479"/>
    <w:rsid w:val="002441FE"/>
    <w:rsid w:val="002B3B73"/>
    <w:rsid w:val="002D33B1"/>
    <w:rsid w:val="002D3591"/>
    <w:rsid w:val="002E41B4"/>
    <w:rsid w:val="003514A0"/>
    <w:rsid w:val="00445443"/>
    <w:rsid w:val="00462AD8"/>
    <w:rsid w:val="004F7E17"/>
    <w:rsid w:val="005932DD"/>
    <w:rsid w:val="005A05CE"/>
    <w:rsid w:val="00653AF6"/>
    <w:rsid w:val="00844AC2"/>
    <w:rsid w:val="00872535"/>
    <w:rsid w:val="00B73A5A"/>
    <w:rsid w:val="00C13E0A"/>
    <w:rsid w:val="00D405F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9E5D"/>
  <w15:docId w15:val="{F85C2A17-3184-4A32-9554-7E2BE2A4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1-я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3 класс</c:v>
                </c:pt>
                <c:pt idx="1">
                  <c:v>4"А" класс</c:v>
                </c:pt>
                <c:pt idx="2">
                  <c:v>4 "Б"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21-40FD-AD4C-016F71026D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2-я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3 класс</c:v>
                </c:pt>
                <c:pt idx="1">
                  <c:v>4"А" класс</c:v>
                </c:pt>
                <c:pt idx="2">
                  <c:v>4 "Б"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21-40FD-AD4C-016F71026D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0626296"/>
        <c:axId val="480624984"/>
      </c:barChart>
      <c:catAx>
        <c:axId val="480626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624984"/>
        <c:crosses val="autoZero"/>
        <c:auto val="1"/>
        <c:lblAlgn val="ctr"/>
        <c:lblOffset val="100"/>
        <c:noMultiLvlLbl val="0"/>
      </c:catAx>
      <c:valAx>
        <c:axId val="48062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626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1-я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3 класс</c:v>
                </c:pt>
                <c:pt idx="1">
                  <c:v>4"А" класс</c:v>
                </c:pt>
                <c:pt idx="2">
                  <c:v>4 "Б"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52</c:v>
                </c:pt>
                <c:pt idx="1">
                  <c:v>64</c:v>
                </c:pt>
                <c:pt idx="2">
                  <c:v>56</c:v>
                </c:pt>
                <c:pt idx="3">
                  <c:v>50</c:v>
                </c:pt>
                <c:pt idx="4">
                  <c:v>60</c:v>
                </c:pt>
                <c:pt idx="5">
                  <c:v>55</c:v>
                </c:pt>
                <c:pt idx="6">
                  <c:v>57</c:v>
                </c:pt>
                <c:pt idx="7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8-4617-B9E4-AB8D25D599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2-я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3 класс</c:v>
                </c:pt>
                <c:pt idx="1">
                  <c:v>4"А" класс</c:v>
                </c:pt>
                <c:pt idx="2">
                  <c:v>4 "Б"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55</c:v>
                </c:pt>
                <c:pt idx="1">
                  <c:v>69</c:v>
                </c:pt>
                <c:pt idx="2">
                  <c:v>53</c:v>
                </c:pt>
                <c:pt idx="3">
                  <c:v>50</c:v>
                </c:pt>
                <c:pt idx="4">
                  <c:v>72</c:v>
                </c:pt>
                <c:pt idx="5">
                  <c:v>54</c:v>
                </c:pt>
                <c:pt idx="6">
                  <c:v>55</c:v>
                </c:pt>
                <c:pt idx="7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58-4617-B9E4-AB8D25D599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46728"/>
        <c:axId val="234245088"/>
      </c:barChart>
      <c:catAx>
        <c:axId val="234246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45088"/>
        <c:crosses val="autoZero"/>
        <c:auto val="1"/>
        <c:lblAlgn val="ctr"/>
        <c:lblOffset val="100"/>
        <c:noMultiLvlLbl val="0"/>
      </c:catAx>
      <c:valAx>
        <c:axId val="23424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46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2024-12-28T06:19:00Z</dcterms:created>
  <dcterms:modified xsi:type="dcterms:W3CDTF">2024-12-28T06:19:00Z</dcterms:modified>
</cp:coreProperties>
</file>