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C569" w14:textId="04F44ACE" w:rsidR="002A53EF" w:rsidRPr="006D221E" w:rsidRDefault="002A53EF" w:rsidP="002A53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Решение  педагогического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  <w:r w:rsidRPr="006D221E">
        <w:rPr>
          <w:rFonts w:ascii="Times New Roman" w:hAnsi="Times New Roman" w:cs="Times New Roman"/>
          <w:b/>
          <w:bCs/>
          <w:sz w:val="24"/>
          <w:szCs w:val="24"/>
        </w:rPr>
        <w:t xml:space="preserve"> № 3</w:t>
      </w:r>
    </w:p>
    <w:p w14:paraId="00A6390C" w14:textId="77777777" w:rsidR="002A53EF" w:rsidRDefault="002A53EF" w:rsidP="002A5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9.01. 2025 года</w:t>
      </w:r>
    </w:p>
    <w:p w14:paraId="03E7240E" w14:textId="77777777" w:rsidR="002A53EF" w:rsidRPr="00AB7568" w:rsidRDefault="002A53EF" w:rsidP="002A53EF">
      <w:pPr>
        <w:rPr>
          <w:rFonts w:ascii="Times New Roman" w:hAnsi="Times New Roman" w:cs="Times New Roman"/>
          <w:sz w:val="24"/>
          <w:szCs w:val="24"/>
        </w:rPr>
      </w:pPr>
      <w:r w:rsidRPr="00AB7568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члены совета)</w:t>
      </w:r>
    </w:p>
    <w:p w14:paraId="555EE462" w14:textId="77777777" w:rsidR="002A53EF" w:rsidRDefault="002A53EF" w:rsidP="002A5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6C6AE3" w14:textId="77777777" w:rsidR="002A53EF" w:rsidRDefault="002A53EF" w:rsidP="002A5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Ижко О.Д., директор</w:t>
      </w:r>
    </w:p>
    <w:p w14:paraId="3E4D548A" w14:textId="77777777" w:rsidR="002A53EF" w:rsidRDefault="002A53EF" w:rsidP="002A5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Розова В.Б., учитель</w:t>
      </w:r>
    </w:p>
    <w:p w14:paraId="37B11650" w14:textId="77777777" w:rsidR="002A53EF" w:rsidRDefault="002A53EF" w:rsidP="002A53EF">
      <w:pPr>
        <w:rPr>
          <w:rFonts w:ascii="Times New Roman" w:hAnsi="Times New Roman" w:cs="Times New Roman"/>
          <w:sz w:val="24"/>
          <w:szCs w:val="24"/>
        </w:rPr>
      </w:pPr>
    </w:p>
    <w:p w14:paraId="1FB1CF49" w14:textId="77777777" w:rsidR="002A53EF" w:rsidRPr="006D221E" w:rsidRDefault="002A53EF" w:rsidP="002A53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221E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0369DD4B" w14:textId="77777777" w:rsidR="002A53EF" w:rsidRDefault="002A53EF" w:rsidP="002A53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мероприятий, посвященных Году защитника Отечества, 80-летию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Победы,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проектов Минпросвещения к Году отдыха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0F5B3B73" w14:textId="77777777" w:rsidR="002A53EF" w:rsidRDefault="002A53EF" w:rsidP="002A53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законодательстве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работе школ в 2025 году.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Обзор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планирование работы ( Директор)</w:t>
      </w:r>
    </w:p>
    <w:p w14:paraId="3A045CE8" w14:textId="77777777" w:rsidR="002A53EF" w:rsidRDefault="002A53EF" w:rsidP="002A53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успеваемости за первое полугодие. Подготовка к ГИА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Заместитель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директора по УВР)</w:t>
      </w:r>
    </w:p>
    <w:p w14:paraId="546CF79D" w14:textId="77777777" w:rsidR="002A53EF" w:rsidRDefault="002A53EF" w:rsidP="002A53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и проведении ВПР 2025 году.</w:t>
      </w:r>
    </w:p>
    <w:p w14:paraId="39CA7E06" w14:textId="77777777" w:rsidR="002A53EF" w:rsidRP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2A53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 ПО ПЕРВОМУ ВОПРОСУ:</w:t>
      </w:r>
      <w:r w:rsidRPr="002A53EF">
        <w:rPr>
          <w:rFonts w:ascii="Times New Roman" w:hAnsi="Times New Roman" w:cs="Times New Roman"/>
          <w:sz w:val="24"/>
          <w:szCs w:val="24"/>
        </w:rPr>
        <w:t xml:space="preserve">  В </w:t>
      </w:r>
      <w:r w:rsidRPr="002A53E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соответствии с </w:t>
      </w:r>
      <w:hyperlink r:id="rId5" w:tgtFrame="_self" w:history="1">
        <w:r w:rsidRPr="002A53EF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Указом Президента РФ от 16.01.2025 № 28</w:t>
        </w:r>
      </w:hyperlink>
      <w:r w:rsidRPr="002A53E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 «О проведении в Российской Федерации Года защитника Отечества»</w:t>
      </w:r>
      <w:r w:rsidRPr="002A53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A53E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утвердить организационный комитет и план мероприятий в 2025 году. Опубликовать на школьном сайте в </w:t>
      </w:r>
      <w:proofErr w:type="gramStart"/>
      <w:r w:rsidRPr="002A53E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п.разделе</w:t>
      </w:r>
      <w:proofErr w:type="gramEnd"/>
      <w:r w:rsidRPr="002A53E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«Воспитательная работа».</w:t>
      </w:r>
      <w:r w:rsidRPr="002A53E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Классным руководителям и воспитателям ГПД запланировать  дополнительные события в рабочих программах воспитания и календарных планах воспитательной работы 2024/2025  учебном году, посвященных Году детского отдыха (</w:t>
      </w:r>
      <w:hyperlink r:id="rId6" w:anchor="/document/99/1307265444/" w:tgtFrame="_self" w:history="1">
        <w:r w:rsidRPr="002A53EF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распоряжение Минпросвещения от 29.08.2024 № Р-160</w:t>
        </w:r>
      </w:hyperlink>
      <w:r w:rsidRPr="002A53E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 Ответственная – Федоренко О.В., заместитель директора по ВР.</w:t>
      </w:r>
    </w:p>
    <w:p w14:paraId="7A5ACAF9" w14:textId="77777777" w:rsidR="002A53EF" w:rsidRPr="00D3497B" w:rsidRDefault="002A53EF" w:rsidP="002A53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139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 ПО ВТОРОМУ ВОПРОСУ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429550B2" w14:textId="77777777" w:rsidR="002A53EF" w:rsidRPr="001F7809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1.Руководителям ШМО </w:t>
      </w: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утверди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ть </w:t>
      </w: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список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учебников </w:t>
      </w: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 предельными сроками использования учебников и пособий, которые исключили из ФПУ (</w:t>
      </w:r>
      <w:hyperlink r:id="rId7" w:anchor="/document/99/1310504426/" w:tgtFrame="_self" w:history="1">
        <w:r w:rsidRPr="001F7809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lang w:eastAsia="ru-RU"/>
            <w14:ligatures w14:val="none"/>
          </w:rPr>
          <w:t>приказ Минпросвещения от 05.11.2024 № 769</w:t>
        </w:r>
      </w:hyperlink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Взять во внимание,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что </w:t>
      </w: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Минпросвещения</w:t>
      </w:r>
      <w:proofErr w:type="gramEnd"/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удалило учебники, сроки действия экспертных заключений которых закончились 31 августа 2024 года</w:t>
      </w:r>
    </w:p>
    <w:p w14:paraId="754581BF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Провер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итть </w:t>
      </w: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на заседаниях ШМО</w:t>
      </w: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остались ли в ФПУ или дополнительном списке учебники, по которым школа преподает предметы. Если нет, то надо найти им замену в действующем ФПУ. Использ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овать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новый </w:t>
      </w: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федеральный</w:t>
      </w:r>
      <w:proofErr w:type="gramEnd"/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перечень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( от 05.11.2024 № 769) при</w:t>
      </w: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составл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ении</w:t>
      </w: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школьны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х</w:t>
      </w: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списк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ов</w:t>
      </w:r>
      <w:r w:rsidRPr="001F78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учебников и пособий на новый учебный год. </w:t>
      </w:r>
    </w:p>
    <w:p w14:paraId="068F685D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2. Заместителю директора по УВР Латанской О.М. учесть при разработке учебных планов и корректировке ООП на 2025/26 учебный год , что с 1 сентября 2025 года вступают в силу подпункты 8.13.17 пункта 1 в части предметов: история, обществознание, ОДНКНР и подпункты 11.12 пункта 2 приказа Минпросвещения от 19.03.2024 года № 171 в части предметов: история,обществознание.</w:t>
      </w:r>
    </w:p>
    <w:p w14:paraId="46A36185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3.Ответственным по защите персональных данных Латанской О.М., заместителю директора по УВР, классным руководителям в рамках своих полномочий принять к сведению и использовать ФЗ от 08.08.2024 года № 328-ФЗ в части 4 статьи 29, которую изложили в новой редакции и  изменения вступают в силу с 1.03.2025 года.</w:t>
      </w:r>
    </w:p>
    <w:p w14:paraId="04E10BD4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4. Трибунской Н.А., методисту проинформировать педагогов, что с 01.03.2025 года вступает в силу Федеральный закон от 08.08.2024 года № 315-ФЗ. Помимо форм обучения, методов обучения и воспитания, педагоги имеют право на свободный выбор средств обучения и воспитания.</w:t>
      </w:r>
    </w:p>
    <w:p w14:paraId="488F75B1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5.Латанской О.М., заместителю директора по УВНР изучить новую редакцию Федерального закона от 08.08.2024 года № 315-ФЗ в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части  оснований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 обучения на дому и обучения в медицинских организациях. Внести изменения в формулировки локальных актов до 1 сентября 2025 года.</w:t>
      </w:r>
    </w:p>
    <w:p w14:paraId="42A2F18D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6.Латанской О.М. ознакомиться с приказом от 01.11 2024 года № 763 о Положении ППК школы. Использовать в работе с 01.03.2025 года.</w:t>
      </w:r>
    </w:p>
    <w:p w14:paraId="0019776F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7.Мишиной Е.Н., фельдшеру применять в работе приказ Минпросвещения от 29.10.2024 № 752 о беспрепятственном доступе к аптечкам.</w:t>
      </w:r>
    </w:p>
    <w:p w14:paraId="6C077C31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8. Главному бухгалтеру Карпенко Е.В. проконтролировать уровень МРОТ согласно Федеральному закону от 29.10.2024 года № 365-ФЗ. Изучить норму ТК статьи 351.8 в редакции Федерального закона от 09.11.2024 года № 361-ФЗ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  регулировании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труда наставников. Определить объем работы в трудовом договоре и размеры выплат. Предоставить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предложение  о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наставничестве на общее собрание трудового коллектива в мае 2025 года.</w:t>
      </w:r>
    </w:p>
    <w:p w14:paraId="76345DB5" w14:textId="77777777" w:rsidR="002A53EF" w:rsidRPr="00D3497B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9.</w:t>
      </w:r>
      <w:r w:rsidRPr="00E66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Во втором полугодии добав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ить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 план функционирования ВСОКО мероприятия, чтобы контролировать подготовку к ВПР по новым требованиям (</w:t>
      </w:r>
      <w:hyperlink r:id="rId8" w:anchor="/document/99/1306081754/" w:tgtFrame="_self" w:history="1">
        <w:r w:rsidRPr="00D3497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приказ Рособрнадзора от 13.05.2023 № 1008</w:t>
        </w:r>
      </w:hyperlink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).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FBE49C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10. 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Распредели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ть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 плане мероприятия по двум направлениям: контроль качества образования и контроль образовательного процесса. Итоги контроля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смогут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предоставить 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данные</w:t>
      </w:r>
      <w:proofErr w:type="gramEnd"/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,чтобы корректировать образовательный процесс и качество образовательных результатов.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Ответственная- Латанская О.М., заместитель директора по УВР.</w:t>
      </w:r>
    </w:p>
    <w:p w14:paraId="477E1840" w14:textId="77777777" w:rsidR="002A53EF" w:rsidRPr="00D3497B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11.</w:t>
      </w:r>
      <w:r w:rsidRPr="00E66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Во втором </w:t>
      </w:r>
      <w:proofErr w:type="gramStart"/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полугодии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методисту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Трибунской Н.А.  и руководителям ШМО 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контролировать, как педагоги реализуют ФРП по труду (технологии) и ОБЗР. Посетит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ь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уроки, чтобы проверить, что учителя следуют тематическому планированию, проводят практические работы. Прове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сти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собеседования с педагогами, чтобы выявить затруднения, а также наиболее эффективные формы работы. </w:t>
      </w:r>
    </w:p>
    <w:p w14:paraId="4B753873" w14:textId="77777777" w:rsidR="002A53EF" w:rsidRPr="00D3497B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3497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Труд (технология).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Цель –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убедиться ,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что</w:t>
      </w:r>
      <w:proofErr w:type="gramEnd"/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педагоги выдают весь объем теоретического материала по программе. На уроках труда каждый школьник должен освоить теоретические сведения каждого модуля, чтобы достичь предметных результатов. Это необходимо, чтобы выполнить требование ФГОС к единству образовательного пространства.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ыполнение практических работ зависит от возможностей школы. Минпросвещения в методическом </w:t>
      </w:r>
      <w:hyperlink r:id="rId9" w:anchor="/document/99/1306514247/" w:tgtFrame="_self" w:history="1">
        <w:r w:rsidRPr="00D3497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письме от 21.06.2024 № 01-09/419</w:t>
        </w:r>
      </w:hyperlink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 допустило отмену практических работ, если у школы нет условий для их выполнения. Часы практических работ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перенесли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на изучение других тем инвариантных или вариативных модулей.</w:t>
      </w:r>
    </w:p>
    <w:p w14:paraId="6B036E83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3497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ОБЗР.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Цель- проверить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что на уроках педагоги используют учебники и учебные пособия из федерального перечня учебников. Оценит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ь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организацию кабинета и наличие пособий для практических занятий. Обязательных детальных требований к оснащению предметного кабинета по ОБЗР не установили.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Ориентироваться 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на перечень, утвержденный </w:t>
      </w:r>
      <w:hyperlink r:id="rId10" w:anchor="/document/99/351812600/" w:tgtFrame="_self" w:history="1">
        <w:r w:rsidRPr="00D3497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приказом Минпросвещения от 06.09.2022 № 804</w:t>
        </w:r>
      </w:hyperlink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7DB39684" w14:textId="77777777" w:rsidR="002A53EF" w:rsidRPr="00A42421" w:rsidRDefault="002A53EF" w:rsidP="002A53E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12.</w:t>
      </w:r>
      <w:r w:rsidRPr="00DA4B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Утвердить дорожную карту реализации программы развития и внести изменения, которые необходимо внести в программу развития:</w:t>
      </w:r>
    </w:p>
    <w:p w14:paraId="6DA23AC4" w14:textId="77777777" w:rsidR="002A53EF" w:rsidRPr="008370F9" w:rsidRDefault="002A53EF" w:rsidP="002A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70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Дорожная карта реализации программы развития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454"/>
        <w:gridCol w:w="880"/>
        <w:gridCol w:w="921"/>
        <w:gridCol w:w="1254"/>
        <w:gridCol w:w="1054"/>
        <w:gridCol w:w="1375"/>
      </w:tblGrid>
      <w:tr w:rsidR="002A53EF" w:rsidRPr="00A42421" w14:paraId="472C44D2" w14:textId="77777777" w:rsidTr="00D024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551F1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Мероприя</w:t>
            </w: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тия</w:t>
            </w: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52AD8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реализации</w:t>
            </w: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8552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Планируемый результат</w:t>
            </w: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875D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</w:t>
            </w: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нитель</w:t>
            </w: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B5E7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</w:t>
            </w: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венный</w:t>
            </w: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2A53EF" w:rsidRPr="00A42421" w14:paraId="0C9CABE3" w14:textId="77777777" w:rsidTr="00D024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90755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AEF97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Плановый</w:t>
            </w: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65809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</w:t>
            </w: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ческий</w:t>
            </w: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257D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</w:t>
            </w: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</w:t>
            </w: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70C8C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</w:t>
            </w: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softHyphen/>
              <w:t>вание</w:t>
            </w: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90C10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073F0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53EF" w:rsidRPr="00A42421" w14:paraId="1021B266" w14:textId="77777777" w:rsidTr="00D0248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AD3F1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Подпроект/задача: изменение ООП по обновленным ФОП ООО и СОО</w:t>
            </w: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2A53EF" w:rsidRPr="00A42421" w14:paraId="375A3462" w14:textId="77777777" w:rsidTr="00D02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5B19E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Подготовить проекты новых рабочих программ по истории и обществознанию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EDEF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Август 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ED9F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FDA16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3210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Рабочие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3993A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Рабочая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4B5F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директора </w:t>
            </w:r>
          </w:p>
        </w:tc>
      </w:tr>
      <w:tr w:rsidR="002A53EF" w:rsidRPr="00A42421" w14:paraId="262AACA8" w14:textId="77777777" w:rsidTr="00D02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6846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Подготовить проекты новых учебных планов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50E1C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Август 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295A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5216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00183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Учебные планы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F19A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Рабочая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F9A2F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директора </w:t>
            </w:r>
          </w:p>
        </w:tc>
      </w:tr>
      <w:tr w:rsidR="002A53EF" w:rsidRPr="00A42421" w14:paraId="7501179C" w14:textId="77777777" w:rsidTr="00D02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699E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Обсудить проекты ООП ООО и СОО на педсовете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6C244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 25.08.2025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78BCF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6DA0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95C68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Протокол заседания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ACDFC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Педсовет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0BF9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директора </w:t>
            </w:r>
          </w:p>
        </w:tc>
      </w:tr>
      <w:tr w:rsidR="002A53EF" w:rsidRPr="00A42421" w14:paraId="0E8F853F" w14:textId="77777777" w:rsidTr="00D02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3B8CD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Утвердить обновленные ООП ООО и СОО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7780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 30.08.2025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639FA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E271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DF2DA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A5AF5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2099" w14:textId="77777777" w:rsidR="002A53EF" w:rsidRPr="00A42421" w:rsidRDefault="002A53EF" w:rsidP="00D02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директора </w:t>
            </w:r>
          </w:p>
        </w:tc>
      </w:tr>
    </w:tbl>
    <w:p w14:paraId="32F77883" w14:textId="77777777" w:rsidR="002A53EF" w:rsidRPr="008370F9" w:rsidRDefault="002A53EF" w:rsidP="002A5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6FD06" w14:textId="77777777" w:rsidR="002A53EF" w:rsidRPr="00AB7568" w:rsidRDefault="002A53EF" w:rsidP="002A5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568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организации</w:t>
      </w:r>
      <w:r w:rsidRPr="00AB7568">
        <w:rPr>
          <w:rFonts w:ascii="Times New Roman" w:hAnsi="Times New Roman" w:cs="Times New Roman"/>
          <w:sz w:val="24"/>
          <w:szCs w:val="24"/>
        </w:rPr>
        <w:br/>
        <w:t>Магистральное направление «Воспитание». Подпроект «Адаптация детей-иностранцев»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394"/>
        <w:gridCol w:w="789"/>
        <w:gridCol w:w="1307"/>
        <w:gridCol w:w="882"/>
        <w:gridCol w:w="966"/>
        <w:gridCol w:w="1284"/>
        <w:gridCol w:w="1408"/>
      </w:tblGrid>
      <w:tr w:rsidR="002A53EF" w:rsidRPr="00AB7568" w14:paraId="1DBB2306" w14:textId="77777777" w:rsidTr="00D02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5BB4E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F56EF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руемые резуль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таты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6E01E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зации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E22D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мероп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риятий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94D0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ное обеспе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чение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DFCE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дитель проект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ной группы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4BF92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вые индика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торы результа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тивности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626CC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оценки резуль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татов и контроля реали</w:t>
            </w: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зации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3EF" w:rsidRPr="00AB7568" w14:paraId="7D2EE8BD" w14:textId="77777777" w:rsidTr="00D02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B5886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адапта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детей, плохо владею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рус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языком и русской куль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FE121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>Дети-иност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ранцы быстро адапти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руются в детс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коллек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тиве и показы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высокие резуль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освое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програм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574C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2025–2026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DF42C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>1. Провести диагно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стику детей-иност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ранцев.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br/>
              <w:t>2. Соста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план мероп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риятий по органи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условий.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br/>
              <w:t>3. Разра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ботать индиви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дуальные маршруты сопровож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детей.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br/>
              <w:t>4. Нанять дополни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D1599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71B6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титель руково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138F2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>Дети-иност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ранцы успешно проходят диагнос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работы разных уровней.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br/>
              <w:t>Отсутст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вуют конф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ликты с роди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телями детей-иност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ранцев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26FFD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По плану ВСОКО </w:t>
            </w:r>
          </w:p>
        </w:tc>
      </w:tr>
    </w:tbl>
    <w:p w14:paraId="0BA3A4D5" w14:textId="77777777" w:rsidR="002A53EF" w:rsidRPr="008370F9" w:rsidRDefault="002A53EF" w:rsidP="002A5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F730C2" w14:textId="77777777" w:rsidR="002A53EF" w:rsidRPr="00AB7568" w:rsidRDefault="002A53EF" w:rsidP="002A5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568">
        <w:rPr>
          <w:rFonts w:ascii="Times New Roman" w:hAnsi="Times New Roman" w:cs="Times New Roman"/>
          <w:sz w:val="24"/>
          <w:szCs w:val="24"/>
        </w:rPr>
        <w:t>Проблемно ориентированный анализ текущего состояния организации. Результаты самодиагностики, установление уровня достижения результатов.</w:t>
      </w:r>
    </w:p>
    <w:p w14:paraId="691650D9" w14:textId="77777777" w:rsidR="002A53EF" w:rsidRPr="00AB7568" w:rsidRDefault="002A53EF" w:rsidP="002A5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568">
        <w:rPr>
          <w:rFonts w:ascii="Times New Roman" w:hAnsi="Times New Roman" w:cs="Times New Roman"/>
          <w:b/>
          <w:bCs/>
          <w:sz w:val="24"/>
          <w:szCs w:val="24"/>
        </w:rPr>
        <w:t>1. Магистральное направление «Знание»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314"/>
      </w:tblGrid>
      <w:tr w:rsidR="002A53EF" w:rsidRPr="00AB7568" w14:paraId="45E36229" w14:textId="77777777" w:rsidTr="00D02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94E3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8C33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3EF" w:rsidRPr="00AB7568" w14:paraId="0CB20487" w14:textId="77777777" w:rsidTr="00D024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98C5F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 xml:space="preserve">ВСОКО школы не отвечает критериям, по которым формируют индекс качества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EB4F" w14:textId="77777777" w:rsidR="002A53EF" w:rsidRPr="00AB7568" w:rsidRDefault="002A53EF" w:rsidP="00D02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8">
              <w:rPr>
                <w:rFonts w:ascii="Times New Roman" w:hAnsi="Times New Roman" w:cs="Times New Roman"/>
                <w:sz w:val="24"/>
                <w:szCs w:val="24"/>
              </w:rPr>
              <w:t>1. Утвердить план-график модернизации ВСОКО школы.</w:t>
            </w:r>
            <w:r w:rsidRPr="00AB7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Реализовать мероприятия из плана-графика модернизации ВСОКО школы </w:t>
            </w:r>
          </w:p>
        </w:tc>
      </w:tr>
    </w:tbl>
    <w:p w14:paraId="246465D1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3AA2D44C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13. 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Запланир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овать в феврале-марте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диагностики в рамках внутреннего мониторинга по литературному чтению в 4-х классах, литературе в 5–8-х и 10-х классах, информатике в 7-х и 8-х классах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Ответственные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Трибунская Н,А., Латанская О.М.).</w:t>
      </w:r>
    </w:p>
    <w:p w14:paraId="13B74B7E" w14:textId="77777777" w:rsidR="002A53EF" w:rsidRPr="00D3497B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14.</w:t>
      </w:r>
      <w:r w:rsidRPr="00C042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Проанализир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овать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как педагог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провод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я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 текущее и тематическое оценивание, провер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ить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отметки с точки зрения объективности. Напомнит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ь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педагогам, чтобы они применяли на уроках задания из демонстрационных вариантов нынешнего года. Прове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сти 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собеседования с учителями, чтобы выявить затруднения, а также наиболее эффективные формы работы.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Продолжить формировать оценочную базу.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Ответственная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– Трибунская Н.А.)</w:t>
      </w:r>
    </w:p>
    <w:p w14:paraId="5B50D90E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ТРЕТЬЕМУ ВОПРОСУ:</w:t>
      </w:r>
    </w:p>
    <w:p w14:paraId="47A3E18D" w14:textId="77777777" w:rsidR="002A53EF" w:rsidRDefault="002A53EF" w:rsidP="002A53E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1.</w:t>
      </w:r>
      <w:r w:rsidRPr="00462AD8">
        <w:rPr>
          <w:rFonts w:hAnsi="Times New Roman" w:cs="Times New Roman"/>
          <w:color w:val="000000"/>
          <w:sz w:val="24"/>
          <w:szCs w:val="24"/>
        </w:rPr>
        <w:t>В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целом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462AD8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 w:rsidRPr="00462AD8">
        <w:rPr>
          <w:rFonts w:hAnsi="Times New Roman" w:cs="Times New Roman"/>
          <w:color w:val="000000"/>
          <w:sz w:val="24"/>
          <w:szCs w:val="24"/>
        </w:rPr>
        <w:t>-</w:t>
      </w:r>
      <w:r w:rsidRPr="00462AD8">
        <w:rPr>
          <w:rFonts w:hAnsi="Times New Roman" w:cs="Times New Roman"/>
          <w:color w:val="000000"/>
          <w:sz w:val="24"/>
          <w:szCs w:val="24"/>
        </w:rPr>
        <w:t>х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классов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продемонстрировали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процентную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Доля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успевающих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на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«</w:t>
      </w:r>
      <w:r w:rsidRPr="00462AD8">
        <w:rPr>
          <w:rFonts w:hAnsi="Times New Roman" w:cs="Times New Roman"/>
          <w:color w:val="000000"/>
          <w:sz w:val="24"/>
          <w:szCs w:val="24"/>
        </w:rPr>
        <w:t>4</w:t>
      </w:r>
      <w:r w:rsidRPr="00462AD8">
        <w:rPr>
          <w:rFonts w:hAnsi="Times New Roman" w:cs="Times New Roman"/>
          <w:color w:val="000000"/>
          <w:sz w:val="24"/>
          <w:szCs w:val="24"/>
        </w:rPr>
        <w:t>»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и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 w:rsidRPr="00462AD8">
        <w:rPr>
          <w:rFonts w:hAnsi="Times New Roman" w:cs="Times New Roman"/>
          <w:color w:val="000000"/>
          <w:sz w:val="24"/>
          <w:szCs w:val="24"/>
        </w:rPr>
        <w:t>5</w:t>
      </w:r>
      <w:r w:rsidRPr="00462AD8">
        <w:rPr>
          <w:rFonts w:hAnsi="Times New Roman" w:cs="Times New Roman"/>
          <w:color w:val="000000"/>
          <w:sz w:val="24"/>
          <w:szCs w:val="24"/>
        </w:rPr>
        <w:t>»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выросла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  <w:r w:rsidRPr="00205B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Провести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малый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совет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по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вопросам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работы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со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слабоуспевающими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и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немотивированными</w:t>
      </w:r>
      <w:r w:rsidRPr="00462AD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2AD8"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</w:rPr>
        <w:t>ответственная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Латанская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.)</w:t>
      </w:r>
    </w:p>
    <w:p w14:paraId="7510B48A" w14:textId="77777777" w:rsidR="002A53EF" w:rsidRPr="008E6C2C" w:rsidRDefault="002A53EF" w:rsidP="002A53E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2. 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Вести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строгий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учет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каждого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ученика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E6C2C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зоны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ближайшего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развития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и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планировать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составление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работы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с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учеником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E6C2C">
        <w:rPr>
          <w:rFonts w:hAnsi="Times New Roman" w:cs="Times New Roman"/>
          <w:color w:val="000000"/>
          <w:sz w:val="24"/>
          <w:szCs w:val="24"/>
        </w:rPr>
        <w:t>что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дает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развития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учащегося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E6C2C">
        <w:rPr>
          <w:rFonts w:hAnsi="Times New Roman" w:cs="Times New Roman"/>
          <w:color w:val="000000"/>
          <w:sz w:val="24"/>
          <w:szCs w:val="24"/>
        </w:rPr>
        <w:t>направленного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на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повышение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его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уровня</w:t>
      </w:r>
      <w:r w:rsidRPr="008E6C2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личностно</w:t>
      </w:r>
      <w:r w:rsidRPr="008E6C2C">
        <w:rPr>
          <w:rFonts w:hAnsi="Times New Roman" w:cs="Times New Roman"/>
          <w:color w:val="000000"/>
          <w:sz w:val="24"/>
          <w:szCs w:val="24"/>
        </w:rPr>
        <w:t>-</w:t>
      </w:r>
      <w:r w:rsidRPr="008E6C2C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подход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к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ученикам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E6C2C">
        <w:rPr>
          <w:rFonts w:hAnsi="Times New Roman" w:cs="Times New Roman"/>
          <w:color w:val="000000"/>
          <w:sz w:val="24"/>
          <w:szCs w:val="24"/>
        </w:rPr>
        <w:t>в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том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числе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имеющим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одну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«четверку»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и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одну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«тройку»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E6C2C">
        <w:rPr>
          <w:rFonts w:hAnsi="Times New Roman" w:cs="Times New Roman"/>
          <w:color w:val="000000"/>
          <w:sz w:val="24"/>
          <w:szCs w:val="24"/>
        </w:rPr>
        <w:t>Эти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являются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потенциалом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для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повышения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качества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E6C2C">
        <w:rPr>
          <w:rFonts w:hAnsi="Times New Roman" w:cs="Times New Roman"/>
          <w:color w:val="000000"/>
          <w:sz w:val="24"/>
          <w:szCs w:val="24"/>
        </w:rPr>
        <w:t>Школьным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методическим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объединениям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обсудить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</w:t>
      </w:r>
      <w:r w:rsidRPr="008E6C2C">
        <w:rPr>
          <w:rFonts w:hAnsi="Times New Roman" w:cs="Times New Roman"/>
          <w:color w:val="000000"/>
          <w:sz w:val="24"/>
          <w:szCs w:val="24"/>
        </w:rPr>
        <w:t>-</w:t>
      </w:r>
      <w:r w:rsidRPr="008E6C2C">
        <w:rPr>
          <w:rFonts w:hAnsi="Times New Roman" w:cs="Times New Roman"/>
          <w:color w:val="000000"/>
          <w:sz w:val="24"/>
          <w:szCs w:val="24"/>
        </w:rPr>
        <w:t>й</w:t>
      </w:r>
      <w:r w:rsidRPr="008E6C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6C2C">
        <w:rPr>
          <w:rFonts w:hAnsi="Times New Roman" w:cs="Times New Roman"/>
          <w:color w:val="000000"/>
          <w:sz w:val="24"/>
          <w:szCs w:val="24"/>
        </w:rPr>
        <w:t>четверти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CEAF591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3.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Обеспечить подготовку к ГИА. 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Включит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ь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 план функционирования ВСОКО мероприятия, чтобы проконтролировать, как учителя готовят выпускников к ГИА по новым КИМ.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Ответственная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Латанская О.М.)</w:t>
      </w:r>
    </w:p>
    <w:p w14:paraId="7CDB70A6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 Провести тренировочное собеседование 21 января 2025 года. Проанализировать результаты и по результатам подготовить план работы с учащимися из «группы риска». Ответственная- Латанская О.М.</w:t>
      </w:r>
    </w:p>
    <w:p w14:paraId="097D7A42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5. Методисту провести семинар с учителями ар изменениям КИМ ЕГЭ и КИМ ОГЭ.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Ответственная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– Трибунская Н.А.)</w:t>
      </w:r>
    </w:p>
    <w:p w14:paraId="2726956A" w14:textId="77777777" w:rsidR="002A53EF" w:rsidRPr="00B33A26" w:rsidRDefault="002A53EF" w:rsidP="002A53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33A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 ПО ЧЕТВЕРТОМУ ВОПРОСУ:</w:t>
      </w:r>
    </w:p>
    <w:p w14:paraId="0E3EC6DF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196017CE" w14:textId="77777777" w:rsidR="002A53EF" w:rsidRPr="00B33A26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1.</w:t>
      </w:r>
      <w:r w:rsidRPr="00B33A2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Принять информацию в работу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принять участие в ВПР 2025 года.</w:t>
      </w:r>
    </w:p>
    <w:p w14:paraId="167DF58F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2.</w:t>
      </w:r>
      <w:r w:rsidRPr="00B33A2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ровести диагносту по предметам, включенным в ВПР и п</w:t>
      </w:r>
      <w:r w:rsidRPr="00B33A2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 итогам диагностик выявить учеников группы риска. Руководителям методобъединений продумать для таких школьников индивидуальные образовательные маршруты, чтобы снизить риск неудовлетворительных результатов на ВПР. Включить в план ВСОКО.</w:t>
      </w:r>
    </w:p>
    <w:p w14:paraId="79421981" w14:textId="330056EF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3. Латанской О.М., заместителю директора по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УВР </w:t>
      </w:r>
      <w:r w:rsidRPr="00B33A2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начале полугодия запланир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овать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посещение уроков,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 целью проверки  выполнения </w:t>
      </w:r>
      <w:r w:rsidRPr="00D3497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требования ФГОС и ФОП к преподаванию предметов, по которым пройдут ВПР.</w:t>
      </w:r>
    </w:p>
    <w:p w14:paraId="6E630BE0" w14:textId="4DBC82B9" w:rsidR="00FB2D5C" w:rsidRDefault="00FB2D5C" w:rsidP="00FB2D5C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Ознакомить учащихся и родителей, что добавили предметы по выбору:</w:t>
      </w:r>
    </w:p>
    <w:p w14:paraId="68CB90CD" w14:textId="77777777" w:rsidR="00FB2D5C" w:rsidRDefault="00FB2D5C" w:rsidP="00FB2D5C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 4-х классах выберут один предмет из окружающего мира, литературного чтения или иностранного языка;</w:t>
      </w:r>
    </w:p>
    <w:p w14:paraId="647EEF33" w14:textId="77777777" w:rsidR="00FB2D5C" w:rsidRDefault="00FB2D5C" w:rsidP="00FB2D5C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5-х классах выберут один предмет из истории, литературы, иностранного языка, географии, биологии;</w:t>
      </w:r>
    </w:p>
    <w:p w14:paraId="74AB527D" w14:textId="77777777" w:rsidR="00FB2D5C" w:rsidRDefault="00FB2D5C" w:rsidP="00FB2D5C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6-х классах выберут один предмет из истории, обществознания, литературы, иностранного языка, географии, биологии;</w:t>
      </w:r>
    </w:p>
    <w:p w14:paraId="6B8872E1" w14:textId="77777777" w:rsidR="00FB2D5C" w:rsidRDefault="00FB2D5C" w:rsidP="00FB2D5C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7-х классах выберут один предмет из истории, обществознания, литературы, иностранного языка, географии, биологии, информатики, физики базовой или с углубленным изучением;</w:t>
      </w:r>
    </w:p>
    <w:p w14:paraId="6CAC0A1C" w14:textId="77777777" w:rsidR="00FB2D5C" w:rsidRDefault="00FB2D5C" w:rsidP="00FB2D5C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8-х классах выберут один предмет из истории, обществознания, иностранного языка, географии, биологии, химии, информатики, физики базовой или с углубленным изучением;</w:t>
      </w:r>
    </w:p>
    <w:p w14:paraId="1F0CD56D" w14:textId="77777777" w:rsidR="00FB2D5C" w:rsidRDefault="00FB2D5C" w:rsidP="00FB2D5C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10-х классах выберут два предмета из истории, обществознания, литературы, иностранного языка, географии, физики, химии.</w:t>
      </w:r>
    </w:p>
    <w:p w14:paraId="4A6476D0" w14:textId="77777777" w:rsidR="00FB2D5C" w:rsidRPr="00B33A26" w:rsidRDefault="00FB2D5C" w:rsidP="00FB2D5C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7D68722C" w14:textId="0B2ED698" w:rsidR="00FB2D5C" w:rsidRPr="00B33A26" w:rsidRDefault="00FB2D5C" w:rsidP="00FB2D5C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77D970A8" w14:textId="77777777" w:rsidR="002A53EF" w:rsidRDefault="002A53EF" w:rsidP="002A53EF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285186B2" w14:textId="77777777" w:rsidR="002A53EF" w:rsidRPr="002A53EF" w:rsidRDefault="002A53EF" w:rsidP="002A53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36418E0" w14:textId="77777777" w:rsidR="002A53EF" w:rsidRDefault="002A53EF" w:rsidP="002A53EF">
      <w:pPr>
        <w:rPr>
          <w:rFonts w:ascii="Times New Roman" w:hAnsi="Times New Roman" w:cs="Times New Roman"/>
          <w:sz w:val="24"/>
          <w:szCs w:val="24"/>
        </w:rPr>
      </w:pPr>
    </w:p>
    <w:p w14:paraId="4257EACD" w14:textId="77777777" w:rsidR="0039723D" w:rsidRDefault="0039723D"/>
    <w:sectPr w:rsidR="003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21DD7"/>
    <w:multiLevelType w:val="multilevel"/>
    <w:tmpl w:val="E032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0311F"/>
    <w:multiLevelType w:val="hybridMultilevel"/>
    <w:tmpl w:val="F594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562636">
    <w:abstractNumId w:val="1"/>
  </w:num>
  <w:num w:numId="2" w16cid:durableId="165263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EF"/>
    <w:rsid w:val="002A53EF"/>
    <w:rsid w:val="0039723D"/>
    <w:rsid w:val="00737C90"/>
    <w:rsid w:val="00915CAA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CB0B"/>
  <w15:chartTrackingRefBased/>
  <w15:docId w15:val="{580F7FC3-F7BA-405D-B0DF-DD217049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3EF"/>
  </w:style>
  <w:style w:type="paragraph" w:styleId="1">
    <w:name w:val="heading 1"/>
    <w:basedOn w:val="a"/>
    <w:next w:val="a"/>
    <w:link w:val="10"/>
    <w:uiPriority w:val="9"/>
    <w:qFormat/>
    <w:rsid w:val="002A5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3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53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53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53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53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53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5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5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53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53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53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53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5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group?groupId=128928134&amp;locale=ru&amp;date=2024-12-27&amp;isStatic=false&amp;pubAlias=mcfr-edu.vip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1743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2025-01-24T07:25:00Z</dcterms:created>
  <dcterms:modified xsi:type="dcterms:W3CDTF">2025-01-27T03:31:00Z</dcterms:modified>
</cp:coreProperties>
</file>